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5806" w14:textId="6FE1D1C0" w:rsidR="00621365" w:rsidRDefault="00621365" w:rsidP="00621365">
      <w:pPr>
        <w:pStyle w:val="Heading2"/>
      </w:pPr>
      <w:bookmarkStart w:id="0" w:name="_Toc89433233"/>
      <w:bookmarkStart w:id="1" w:name="_Toc208301670"/>
      <w:r w:rsidRPr="003F001E">
        <w:t>O 1.4</w:t>
      </w:r>
      <w:r w:rsidRPr="003F001E">
        <w:tab/>
      </w:r>
      <w:r>
        <w:tab/>
      </w:r>
      <w:r w:rsidRPr="003F001E">
        <w:t>Buildings – Use of Sea Containers and Transportable Structures Policy</w:t>
      </w:r>
      <w:bookmarkEnd w:id="0"/>
      <w:bookmarkEnd w:id="1"/>
    </w:p>
    <w:p w14:paraId="4A52A776" w14:textId="77777777" w:rsidR="00621365" w:rsidRPr="003F001E" w:rsidRDefault="00621365" w:rsidP="00621365">
      <w:r>
        <w:pict w14:anchorId="0AD8ED6E">
          <v:rect id="_x0000_i1025" style="width:481.6pt;height:3pt" o:hralign="center" o:hrstd="t" o:hrnoshade="t" o:hr="t" fillcolor="#0070c0" stroked="f"/>
        </w:pict>
      </w:r>
    </w:p>
    <w:p w14:paraId="5FEF2611" w14:textId="77777777" w:rsidR="00621365" w:rsidRPr="0099356F" w:rsidRDefault="00621365" w:rsidP="00621365">
      <w:pPr>
        <w:rPr>
          <w:rFonts w:ascii="Century Gothic" w:hAnsi="Century Gothic"/>
          <w:b/>
          <w:sz w:val="20"/>
          <w:szCs w:val="20"/>
        </w:rPr>
      </w:pPr>
      <w:r w:rsidRPr="0099356F">
        <w:rPr>
          <w:rFonts w:ascii="Century Gothic" w:hAnsi="Century Gothic"/>
          <w:b/>
          <w:sz w:val="20"/>
          <w:szCs w:val="20"/>
        </w:rPr>
        <w:t>OBJECTIVE</w:t>
      </w:r>
    </w:p>
    <w:p w14:paraId="74944FF6" w14:textId="77777777" w:rsidR="00621365" w:rsidRPr="0099356F" w:rsidRDefault="00621365" w:rsidP="00621365">
      <w:pPr>
        <w:pStyle w:val="ListParagraph"/>
        <w:numPr>
          <w:ilvl w:val="0"/>
          <w:numId w:val="1"/>
        </w:numPr>
        <w:spacing w:after="0" w:line="240" w:lineRule="auto"/>
        <w:ind w:left="714" w:hanging="357"/>
        <w:jc w:val="both"/>
        <w:rPr>
          <w:rFonts w:ascii="Century Gothic" w:hAnsi="Century Gothic"/>
          <w:sz w:val="20"/>
          <w:szCs w:val="20"/>
        </w:rPr>
      </w:pPr>
      <w:r w:rsidRPr="0099356F">
        <w:rPr>
          <w:rFonts w:ascii="Century Gothic" w:hAnsi="Century Gothic"/>
          <w:sz w:val="20"/>
          <w:szCs w:val="20"/>
        </w:rPr>
        <w:t>To protect the amenity of the Williams townsite by ensuring that the visual impact of any proposal to use a sea container or transportable structure is minimised.</w:t>
      </w:r>
    </w:p>
    <w:p w14:paraId="78CC7EE2" w14:textId="77777777" w:rsidR="00621365" w:rsidRPr="0099356F" w:rsidRDefault="00621365" w:rsidP="00621365">
      <w:pPr>
        <w:pStyle w:val="ListParagraph"/>
        <w:numPr>
          <w:ilvl w:val="0"/>
          <w:numId w:val="1"/>
        </w:numPr>
        <w:spacing w:after="0" w:line="240" w:lineRule="auto"/>
        <w:ind w:left="714" w:hanging="357"/>
        <w:jc w:val="both"/>
        <w:rPr>
          <w:rFonts w:ascii="Century Gothic" w:hAnsi="Century Gothic"/>
          <w:sz w:val="20"/>
          <w:szCs w:val="20"/>
        </w:rPr>
      </w:pPr>
      <w:r w:rsidRPr="0099356F">
        <w:rPr>
          <w:rFonts w:ascii="Century Gothic" w:hAnsi="Century Gothic"/>
          <w:sz w:val="20"/>
          <w:szCs w:val="20"/>
        </w:rPr>
        <w:t>To specify the circumstances under which the Shire may permit the use of sea containers or transportable structures within the Williams townsite.</w:t>
      </w:r>
    </w:p>
    <w:p w14:paraId="582CA14E" w14:textId="77777777" w:rsidR="00621365" w:rsidRDefault="00621365" w:rsidP="00621365">
      <w:pPr>
        <w:pStyle w:val="ListParagraph"/>
        <w:numPr>
          <w:ilvl w:val="0"/>
          <w:numId w:val="1"/>
        </w:numPr>
        <w:spacing w:after="0" w:line="240" w:lineRule="auto"/>
        <w:ind w:left="714" w:hanging="357"/>
        <w:jc w:val="both"/>
        <w:rPr>
          <w:rFonts w:ascii="Century Gothic" w:hAnsi="Century Gothic"/>
          <w:sz w:val="20"/>
          <w:szCs w:val="20"/>
        </w:rPr>
      </w:pPr>
      <w:r w:rsidRPr="0099356F">
        <w:rPr>
          <w:rFonts w:ascii="Century Gothic" w:hAnsi="Century Gothic"/>
          <w:sz w:val="20"/>
          <w:szCs w:val="20"/>
        </w:rPr>
        <w:t>To outline the procedures required to be followed in seeking Council’s approval to the use of sea containers or transportable structures within the Williams townsite.</w:t>
      </w:r>
    </w:p>
    <w:p w14:paraId="43351B42" w14:textId="77777777" w:rsidR="00621365" w:rsidRPr="003F001E" w:rsidRDefault="00621365" w:rsidP="00621365">
      <w:pPr>
        <w:pStyle w:val="ListParagraph"/>
        <w:jc w:val="both"/>
        <w:rPr>
          <w:rFonts w:ascii="Century Gothic" w:hAnsi="Century Gothic"/>
          <w:sz w:val="20"/>
          <w:szCs w:val="20"/>
        </w:rPr>
      </w:pPr>
    </w:p>
    <w:p w14:paraId="6763785C" w14:textId="77777777" w:rsidR="00621365" w:rsidRPr="0099356F" w:rsidRDefault="00621365" w:rsidP="00621365">
      <w:pPr>
        <w:pBdr>
          <w:top w:val="single" w:sz="18" w:space="1" w:color="auto"/>
        </w:pBdr>
        <w:rPr>
          <w:rFonts w:ascii="Century Gothic" w:hAnsi="Century Gothic"/>
          <w:b/>
          <w:sz w:val="20"/>
          <w:szCs w:val="20"/>
        </w:rPr>
      </w:pPr>
      <w:r>
        <w:rPr>
          <w:rFonts w:ascii="Century Gothic" w:hAnsi="Century Gothic"/>
          <w:b/>
          <w:sz w:val="20"/>
          <w:szCs w:val="20"/>
        </w:rPr>
        <w:br/>
      </w:r>
      <w:r w:rsidRPr="0099356F">
        <w:rPr>
          <w:rFonts w:ascii="Century Gothic" w:hAnsi="Century Gothic"/>
          <w:b/>
          <w:sz w:val="20"/>
          <w:szCs w:val="20"/>
        </w:rPr>
        <w:t>STATEMENT</w:t>
      </w:r>
    </w:p>
    <w:p w14:paraId="6E0D42E7" w14:textId="77777777" w:rsidR="00621365" w:rsidRDefault="00621365" w:rsidP="00621365">
      <w:pPr>
        <w:spacing w:after="0" w:line="240" w:lineRule="auto"/>
        <w:jc w:val="both"/>
        <w:rPr>
          <w:rFonts w:ascii="Century Gothic" w:hAnsi="Century Gothic"/>
          <w:sz w:val="20"/>
          <w:szCs w:val="20"/>
        </w:rPr>
      </w:pPr>
      <w:r w:rsidRPr="0099356F">
        <w:rPr>
          <w:rFonts w:ascii="Century Gothic" w:hAnsi="Century Gothic"/>
          <w:sz w:val="20"/>
          <w:szCs w:val="20"/>
        </w:rPr>
        <w:t xml:space="preserve">The use of sea containers and transportable structures for purposes other than the transportation of goods (e.g. storage, shed, workshop etc.) has the potential to have a negative impact upon the visual amenity of areas in which they are located due to the general size and appearance of such structures.  </w:t>
      </w:r>
      <w:proofErr w:type="gramStart"/>
      <w:r w:rsidRPr="0099356F">
        <w:rPr>
          <w:rFonts w:ascii="Century Gothic" w:hAnsi="Century Gothic"/>
          <w:sz w:val="20"/>
          <w:szCs w:val="20"/>
        </w:rPr>
        <w:t>In order to</w:t>
      </w:r>
      <w:proofErr w:type="gramEnd"/>
      <w:r w:rsidRPr="0099356F">
        <w:rPr>
          <w:rFonts w:ascii="Century Gothic" w:hAnsi="Century Gothic"/>
          <w:sz w:val="20"/>
          <w:szCs w:val="20"/>
        </w:rPr>
        <w:t xml:space="preserve"> guard against the potential negative impact of such usage the Shire requires that all proposals of this type be submitted to Council for its formal planning approval prior to commencement.</w:t>
      </w:r>
    </w:p>
    <w:p w14:paraId="0DCC7DD3" w14:textId="77777777" w:rsidR="00621365" w:rsidRPr="0099356F" w:rsidRDefault="00621365" w:rsidP="00621365">
      <w:pPr>
        <w:spacing w:after="0" w:line="240" w:lineRule="auto"/>
        <w:jc w:val="both"/>
        <w:rPr>
          <w:rFonts w:ascii="Century Gothic" w:hAnsi="Century Gothic"/>
          <w:b/>
          <w:sz w:val="20"/>
          <w:szCs w:val="20"/>
        </w:rPr>
      </w:pPr>
    </w:p>
    <w:p w14:paraId="7903BC53" w14:textId="77777777" w:rsidR="00621365" w:rsidRPr="0099356F" w:rsidRDefault="00621365" w:rsidP="00621365">
      <w:pPr>
        <w:pBdr>
          <w:top w:val="single" w:sz="18" w:space="1" w:color="auto"/>
        </w:pBdr>
        <w:spacing w:after="0" w:line="240" w:lineRule="auto"/>
        <w:rPr>
          <w:rFonts w:ascii="Century Gothic" w:hAnsi="Century Gothic"/>
          <w:b/>
          <w:sz w:val="20"/>
          <w:szCs w:val="20"/>
        </w:rPr>
      </w:pPr>
    </w:p>
    <w:p w14:paraId="1F5CB098" w14:textId="77777777" w:rsidR="00621365" w:rsidRPr="0099356F" w:rsidRDefault="00621365" w:rsidP="00621365">
      <w:pPr>
        <w:rPr>
          <w:rFonts w:ascii="Century Gothic" w:hAnsi="Century Gothic"/>
          <w:b/>
          <w:sz w:val="20"/>
          <w:szCs w:val="20"/>
        </w:rPr>
      </w:pPr>
      <w:r w:rsidRPr="0099356F">
        <w:rPr>
          <w:rFonts w:ascii="Century Gothic" w:hAnsi="Century Gothic"/>
          <w:b/>
          <w:sz w:val="20"/>
          <w:szCs w:val="20"/>
        </w:rPr>
        <w:t>GUIDELINES</w:t>
      </w:r>
    </w:p>
    <w:p w14:paraId="41EF752F" w14:textId="77777777" w:rsidR="00621365" w:rsidRPr="0099356F" w:rsidRDefault="00621365" w:rsidP="00621365">
      <w:pPr>
        <w:spacing w:afterLines="120" w:after="288" w:line="240" w:lineRule="auto"/>
        <w:jc w:val="both"/>
        <w:rPr>
          <w:rFonts w:ascii="Century Gothic" w:hAnsi="Century Gothic"/>
          <w:sz w:val="20"/>
          <w:szCs w:val="20"/>
        </w:rPr>
      </w:pPr>
      <w:r w:rsidRPr="0099356F">
        <w:rPr>
          <w:rFonts w:ascii="Century Gothic" w:hAnsi="Century Gothic"/>
          <w:sz w:val="20"/>
          <w:szCs w:val="20"/>
        </w:rPr>
        <w:t xml:space="preserve">The use of sea containers or transportable structures within the Williams townsite for purposes other than the transportation of goods is generally not permitted.  Council may however issue its planning consent for the use of such structures for purposes other than the transportation of goods where </w:t>
      </w:r>
      <w:proofErr w:type="gramStart"/>
      <w:r w:rsidRPr="0099356F">
        <w:rPr>
          <w:rFonts w:ascii="Century Gothic" w:hAnsi="Century Gothic"/>
          <w:sz w:val="20"/>
          <w:szCs w:val="20"/>
          <w:u w:val="single"/>
        </w:rPr>
        <w:t>all</w:t>
      </w:r>
      <w:r w:rsidRPr="0099356F">
        <w:rPr>
          <w:rFonts w:ascii="Century Gothic" w:hAnsi="Century Gothic"/>
          <w:sz w:val="20"/>
          <w:szCs w:val="20"/>
        </w:rPr>
        <w:t xml:space="preserve"> of</w:t>
      </w:r>
      <w:proofErr w:type="gramEnd"/>
      <w:r w:rsidRPr="0099356F">
        <w:rPr>
          <w:rFonts w:ascii="Century Gothic" w:hAnsi="Century Gothic"/>
          <w:sz w:val="20"/>
          <w:szCs w:val="20"/>
        </w:rPr>
        <w:t xml:space="preserve"> the following circumstances apply:</w:t>
      </w:r>
    </w:p>
    <w:p w14:paraId="1A6F6E3C" w14:textId="77777777" w:rsidR="00621365" w:rsidRPr="0099356F" w:rsidRDefault="00621365" w:rsidP="00621365">
      <w:pPr>
        <w:pStyle w:val="ListParagraph"/>
        <w:numPr>
          <w:ilvl w:val="0"/>
          <w:numId w:val="3"/>
        </w:numPr>
        <w:spacing w:afterLines="120" w:after="288" w:line="240" w:lineRule="auto"/>
        <w:jc w:val="both"/>
        <w:rPr>
          <w:rFonts w:ascii="Century Gothic" w:hAnsi="Century Gothic"/>
          <w:sz w:val="20"/>
          <w:szCs w:val="20"/>
        </w:rPr>
      </w:pPr>
      <w:r w:rsidRPr="0099356F">
        <w:rPr>
          <w:rFonts w:ascii="Century Gothic" w:hAnsi="Century Gothic"/>
          <w:sz w:val="20"/>
          <w:szCs w:val="20"/>
        </w:rPr>
        <w:t xml:space="preserve">Where the land the subject of such an application is zoned Commercial, Industrial or </w:t>
      </w:r>
      <w:proofErr w:type="gramStart"/>
      <w:r w:rsidRPr="0099356F">
        <w:rPr>
          <w:rFonts w:ascii="Century Gothic" w:hAnsi="Century Gothic"/>
          <w:sz w:val="20"/>
          <w:szCs w:val="20"/>
        </w:rPr>
        <w:t>Rural;</w:t>
      </w:r>
      <w:proofErr w:type="gramEnd"/>
    </w:p>
    <w:p w14:paraId="3FE4A553" w14:textId="77777777" w:rsidR="00621365" w:rsidRPr="0099356F" w:rsidRDefault="00621365" w:rsidP="00621365">
      <w:pPr>
        <w:pStyle w:val="ListParagraph"/>
        <w:numPr>
          <w:ilvl w:val="0"/>
          <w:numId w:val="3"/>
        </w:numPr>
        <w:spacing w:afterLines="120" w:after="288" w:line="240" w:lineRule="auto"/>
        <w:jc w:val="both"/>
        <w:rPr>
          <w:rFonts w:ascii="Century Gothic" w:hAnsi="Century Gothic"/>
          <w:sz w:val="20"/>
          <w:szCs w:val="20"/>
        </w:rPr>
      </w:pPr>
      <w:r w:rsidRPr="0099356F">
        <w:rPr>
          <w:rFonts w:ascii="Century Gothic" w:hAnsi="Century Gothic"/>
          <w:sz w:val="20"/>
          <w:szCs w:val="20"/>
        </w:rPr>
        <w:t xml:space="preserve">Where the structure is located on the land </w:t>
      </w:r>
      <w:proofErr w:type="gramStart"/>
      <w:r w:rsidRPr="0099356F">
        <w:rPr>
          <w:rFonts w:ascii="Century Gothic" w:hAnsi="Century Gothic"/>
          <w:sz w:val="20"/>
          <w:szCs w:val="20"/>
        </w:rPr>
        <w:t>so as to</w:t>
      </w:r>
      <w:proofErr w:type="gramEnd"/>
      <w:r w:rsidRPr="0099356F">
        <w:rPr>
          <w:rFonts w:ascii="Century Gothic" w:hAnsi="Century Gothic"/>
          <w:sz w:val="20"/>
          <w:szCs w:val="20"/>
        </w:rPr>
        <w:t xml:space="preserve"> be effectively screened from public </w:t>
      </w:r>
      <w:proofErr w:type="gramStart"/>
      <w:r w:rsidRPr="0099356F">
        <w:rPr>
          <w:rFonts w:ascii="Century Gothic" w:hAnsi="Century Gothic"/>
          <w:sz w:val="20"/>
          <w:szCs w:val="20"/>
        </w:rPr>
        <w:t>view;</w:t>
      </w:r>
      <w:proofErr w:type="gramEnd"/>
    </w:p>
    <w:p w14:paraId="41A73D77" w14:textId="77777777" w:rsidR="00621365" w:rsidRPr="0099356F" w:rsidRDefault="00621365" w:rsidP="00621365">
      <w:pPr>
        <w:pStyle w:val="ListParagraph"/>
        <w:numPr>
          <w:ilvl w:val="0"/>
          <w:numId w:val="3"/>
        </w:numPr>
        <w:spacing w:afterLines="120" w:after="288" w:line="240" w:lineRule="auto"/>
        <w:jc w:val="both"/>
        <w:rPr>
          <w:rFonts w:ascii="Century Gothic" w:hAnsi="Century Gothic"/>
          <w:sz w:val="20"/>
          <w:szCs w:val="20"/>
        </w:rPr>
      </w:pPr>
      <w:r w:rsidRPr="0099356F">
        <w:rPr>
          <w:rFonts w:ascii="Century Gothic" w:hAnsi="Century Gothic"/>
          <w:sz w:val="20"/>
          <w:szCs w:val="20"/>
        </w:rPr>
        <w:t xml:space="preserve">Where the height of such structures does not exceed 3 metres. </w:t>
      </w:r>
    </w:p>
    <w:p w14:paraId="47EDCFAD" w14:textId="77777777" w:rsidR="00621365" w:rsidRPr="0099356F" w:rsidRDefault="00621365" w:rsidP="00621365">
      <w:pPr>
        <w:spacing w:afterLines="120" w:after="288" w:line="240" w:lineRule="auto"/>
        <w:jc w:val="both"/>
        <w:rPr>
          <w:rFonts w:ascii="Century Gothic" w:hAnsi="Century Gothic"/>
          <w:sz w:val="20"/>
          <w:szCs w:val="20"/>
        </w:rPr>
      </w:pPr>
      <w:r w:rsidRPr="0099356F">
        <w:rPr>
          <w:rFonts w:ascii="Century Gothic" w:hAnsi="Century Gothic"/>
          <w:sz w:val="20"/>
          <w:szCs w:val="20"/>
        </w:rPr>
        <w:t xml:space="preserve">All applications for planning approval to use a sea container or transportable structure is to be made in the form prescribed in </w:t>
      </w:r>
      <w:r w:rsidRPr="0099356F">
        <w:rPr>
          <w:rFonts w:ascii="Century Gothic" w:hAnsi="Century Gothic"/>
          <w:sz w:val="20"/>
          <w:szCs w:val="20"/>
          <w:u w:val="single"/>
        </w:rPr>
        <w:t>Schedule 2 of the Shire of Williams Town Planning Scheme No.2</w:t>
      </w:r>
      <w:r w:rsidRPr="0099356F">
        <w:rPr>
          <w:rFonts w:ascii="Century Gothic" w:hAnsi="Century Gothic"/>
          <w:sz w:val="20"/>
          <w:szCs w:val="20"/>
        </w:rPr>
        <w:t xml:space="preserve"> and to be accompanied by the following information:</w:t>
      </w:r>
    </w:p>
    <w:p w14:paraId="09450AB3" w14:textId="77777777" w:rsidR="00621365" w:rsidRPr="0099356F" w:rsidRDefault="00621365" w:rsidP="00621365">
      <w:pPr>
        <w:pStyle w:val="ListParagraph"/>
        <w:numPr>
          <w:ilvl w:val="0"/>
          <w:numId w:val="2"/>
        </w:numPr>
        <w:spacing w:afterLines="120" w:after="288" w:line="240" w:lineRule="auto"/>
        <w:jc w:val="both"/>
        <w:rPr>
          <w:rFonts w:ascii="Century Gothic" w:hAnsi="Century Gothic"/>
          <w:sz w:val="20"/>
          <w:szCs w:val="20"/>
        </w:rPr>
      </w:pPr>
      <w:r w:rsidRPr="0099356F">
        <w:rPr>
          <w:rFonts w:ascii="Century Gothic" w:hAnsi="Century Gothic"/>
          <w:sz w:val="20"/>
          <w:szCs w:val="20"/>
        </w:rPr>
        <w:t xml:space="preserve">Details of the proposed use of the </w:t>
      </w:r>
      <w:proofErr w:type="gramStart"/>
      <w:r w:rsidRPr="0099356F">
        <w:rPr>
          <w:rFonts w:ascii="Century Gothic" w:hAnsi="Century Gothic"/>
          <w:sz w:val="20"/>
          <w:szCs w:val="20"/>
        </w:rPr>
        <w:t>structure;</w:t>
      </w:r>
      <w:proofErr w:type="gramEnd"/>
    </w:p>
    <w:p w14:paraId="38B82941" w14:textId="77777777" w:rsidR="00621365" w:rsidRPr="0099356F" w:rsidRDefault="00621365" w:rsidP="00621365">
      <w:pPr>
        <w:pStyle w:val="ListParagraph"/>
        <w:numPr>
          <w:ilvl w:val="0"/>
          <w:numId w:val="2"/>
        </w:numPr>
        <w:spacing w:afterLines="120" w:after="288" w:line="240" w:lineRule="auto"/>
        <w:jc w:val="both"/>
        <w:rPr>
          <w:rFonts w:ascii="Century Gothic" w:hAnsi="Century Gothic"/>
          <w:sz w:val="20"/>
          <w:szCs w:val="20"/>
        </w:rPr>
      </w:pPr>
      <w:r w:rsidRPr="0099356F">
        <w:rPr>
          <w:rFonts w:ascii="Century Gothic" w:hAnsi="Century Gothic"/>
          <w:sz w:val="20"/>
          <w:szCs w:val="20"/>
        </w:rPr>
        <w:t xml:space="preserve">Details of the dimensions and finish of the proposed </w:t>
      </w:r>
      <w:proofErr w:type="gramStart"/>
      <w:r w:rsidRPr="0099356F">
        <w:rPr>
          <w:rFonts w:ascii="Century Gothic" w:hAnsi="Century Gothic"/>
          <w:sz w:val="20"/>
          <w:szCs w:val="20"/>
        </w:rPr>
        <w:t>structure;</w:t>
      </w:r>
      <w:proofErr w:type="gramEnd"/>
    </w:p>
    <w:p w14:paraId="0C136D3F" w14:textId="77777777" w:rsidR="00621365" w:rsidRPr="0099356F" w:rsidRDefault="00621365" w:rsidP="00621365">
      <w:pPr>
        <w:pStyle w:val="ListParagraph"/>
        <w:numPr>
          <w:ilvl w:val="0"/>
          <w:numId w:val="2"/>
        </w:numPr>
        <w:spacing w:afterLines="120" w:after="288" w:line="240" w:lineRule="auto"/>
        <w:jc w:val="both"/>
        <w:rPr>
          <w:rFonts w:ascii="Century Gothic" w:hAnsi="Century Gothic"/>
          <w:sz w:val="20"/>
          <w:szCs w:val="20"/>
        </w:rPr>
      </w:pPr>
      <w:r w:rsidRPr="0099356F">
        <w:rPr>
          <w:rFonts w:ascii="Century Gothic" w:hAnsi="Century Gothic"/>
          <w:sz w:val="20"/>
          <w:szCs w:val="20"/>
        </w:rPr>
        <w:t xml:space="preserve">A photo of the proposed </w:t>
      </w:r>
      <w:proofErr w:type="gramStart"/>
      <w:r w:rsidRPr="0099356F">
        <w:rPr>
          <w:rFonts w:ascii="Century Gothic" w:hAnsi="Century Gothic"/>
          <w:sz w:val="20"/>
          <w:szCs w:val="20"/>
        </w:rPr>
        <w:t>structure;</w:t>
      </w:r>
      <w:proofErr w:type="gramEnd"/>
    </w:p>
    <w:p w14:paraId="6052BA10" w14:textId="77777777" w:rsidR="00621365" w:rsidRPr="0099356F" w:rsidRDefault="00621365" w:rsidP="00621365">
      <w:pPr>
        <w:pStyle w:val="ListParagraph"/>
        <w:numPr>
          <w:ilvl w:val="0"/>
          <w:numId w:val="2"/>
        </w:numPr>
        <w:spacing w:afterLines="120" w:after="288" w:line="240" w:lineRule="auto"/>
        <w:jc w:val="both"/>
        <w:rPr>
          <w:rFonts w:ascii="Century Gothic" w:hAnsi="Century Gothic"/>
          <w:sz w:val="20"/>
          <w:szCs w:val="20"/>
        </w:rPr>
      </w:pPr>
      <w:r w:rsidRPr="0099356F">
        <w:rPr>
          <w:rFonts w:ascii="Century Gothic" w:hAnsi="Century Gothic"/>
          <w:sz w:val="20"/>
          <w:szCs w:val="20"/>
        </w:rPr>
        <w:t>Details of the structure’s proposed location on the subject land; and</w:t>
      </w:r>
    </w:p>
    <w:p w14:paraId="60B8F025" w14:textId="77777777" w:rsidR="00621365" w:rsidRPr="0099356F" w:rsidRDefault="00621365" w:rsidP="00621365">
      <w:pPr>
        <w:pStyle w:val="ListParagraph"/>
        <w:numPr>
          <w:ilvl w:val="0"/>
          <w:numId w:val="2"/>
        </w:numPr>
        <w:spacing w:afterLines="120" w:after="288" w:line="240" w:lineRule="auto"/>
        <w:jc w:val="both"/>
        <w:rPr>
          <w:rFonts w:ascii="Century Gothic" w:hAnsi="Century Gothic"/>
          <w:sz w:val="20"/>
          <w:szCs w:val="20"/>
        </w:rPr>
      </w:pPr>
      <w:r w:rsidRPr="0099356F">
        <w:rPr>
          <w:rFonts w:ascii="Century Gothic" w:hAnsi="Century Gothic"/>
          <w:sz w:val="20"/>
          <w:szCs w:val="20"/>
        </w:rPr>
        <w:t>The proposed method of screening.</w:t>
      </w:r>
    </w:p>
    <w:p w14:paraId="31E1B0B5" w14:textId="77777777" w:rsidR="00621365" w:rsidRPr="0099356F" w:rsidRDefault="00621365" w:rsidP="00621365">
      <w:pPr>
        <w:spacing w:afterLines="120" w:after="288" w:line="240" w:lineRule="auto"/>
        <w:jc w:val="both"/>
        <w:rPr>
          <w:rFonts w:ascii="Century Gothic" w:hAnsi="Century Gothic"/>
          <w:sz w:val="20"/>
          <w:szCs w:val="20"/>
        </w:rPr>
      </w:pPr>
      <w:r w:rsidRPr="0099356F">
        <w:rPr>
          <w:rFonts w:ascii="Century Gothic" w:hAnsi="Century Gothic"/>
          <w:sz w:val="20"/>
          <w:szCs w:val="20"/>
        </w:rPr>
        <w:t>In considering any application for planning consent to use a sea container or transportable structure within the Williams townsite, Council is to have regard to the objectives and provisions of its Town Planning Scheme and may take into account any matters relevant to Town and Regional Planning, the public interest in general and the locality surrounding the proposed development in particular.</w:t>
      </w:r>
    </w:p>
    <w:p w14:paraId="3A44CD7F" w14:textId="77777777" w:rsidR="00621365" w:rsidRPr="0099356F" w:rsidRDefault="00621365" w:rsidP="00621365">
      <w:pPr>
        <w:spacing w:afterLines="120" w:after="288" w:line="240" w:lineRule="auto"/>
        <w:jc w:val="both"/>
        <w:rPr>
          <w:rFonts w:ascii="Century Gothic" w:hAnsi="Century Gothic"/>
          <w:sz w:val="20"/>
          <w:szCs w:val="20"/>
        </w:rPr>
      </w:pPr>
      <w:r w:rsidRPr="0099356F">
        <w:rPr>
          <w:rFonts w:ascii="Century Gothic" w:hAnsi="Century Gothic"/>
          <w:sz w:val="20"/>
          <w:szCs w:val="20"/>
        </w:rPr>
        <w:lastRenderedPageBreak/>
        <w:t xml:space="preserve">Where a sea container is being used to transport </w:t>
      </w:r>
      <w:proofErr w:type="gramStart"/>
      <w:r w:rsidRPr="0099356F">
        <w:rPr>
          <w:rFonts w:ascii="Century Gothic" w:hAnsi="Century Gothic"/>
          <w:sz w:val="20"/>
          <w:szCs w:val="20"/>
        </w:rPr>
        <w:t>goods</w:t>
      </w:r>
      <w:proofErr w:type="gramEnd"/>
      <w:r w:rsidRPr="0099356F">
        <w:rPr>
          <w:rFonts w:ascii="Century Gothic" w:hAnsi="Century Gothic"/>
          <w:sz w:val="20"/>
          <w:szCs w:val="20"/>
        </w:rPr>
        <w:t xml:space="preserve"> it is not permitted to remain on any land within the Williams townsite for a period exceeding </w:t>
      </w:r>
      <w:proofErr w:type="gramStart"/>
      <w:r w:rsidRPr="0099356F">
        <w:rPr>
          <w:rFonts w:ascii="Century Gothic" w:hAnsi="Century Gothic"/>
          <w:sz w:val="20"/>
          <w:szCs w:val="20"/>
        </w:rPr>
        <w:t>twenty eight</w:t>
      </w:r>
      <w:proofErr w:type="gramEnd"/>
      <w:r w:rsidRPr="0099356F">
        <w:rPr>
          <w:rFonts w:ascii="Century Gothic" w:hAnsi="Century Gothic"/>
          <w:sz w:val="20"/>
          <w:szCs w:val="20"/>
        </w:rPr>
        <w:t xml:space="preserve"> (28) days without Council’s approval.</w:t>
      </w:r>
    </w:p>
    <w:p w14:paraId="7C8C4E62" w14:textId="77777777" w:rsidR="00621365" w:rsidRDefault="00621365" w:rsidP="00621365">
      <w:pPr>
        <w:spacing w:after="120" w:line="240" w:lineRule="auto"/>
        <w:jc w:val="both"/>
        <w:rPr>
          <w:rFonts w:ascii="Century Gothic" w:hAnsi="Century Gothic"/>
          <w:sz w:val="20"/>
          <w:szCs w:val="20"/>
          <w:u w:val="single"/>
        </w:rPr>
      </w:pPr>
      <w:r w:rsidRPr="00FC14DC">
        <w:rPr>
          <w:rFonts w:ascii="Century Gothic" w:hAnsi="Century Gothic"/>
          <w:sz w:val="20"/>
          <w:szCs w:val="20"/>
          <w:u w:val="single"/>
        </w:rPr>
        <w:t>Conversion to a building for habitation</w:t>
      </w:r>
    </w:p>
    <w:p w14:paraId="2DA81038" w14:textId="77777777" w:rsidR="00621365" w:rsidRDefault="00621365" w:rsidP="00621365">
      <w:pPr>
        <w:spacing w:afterLines="120" w:after="288" w:line="240" w:lineRule="auto"/>
        <w:jc w:val="both"/>
        <w:rPr>
          <w:rFonts w:ascii="Century Gothic" w:hAnsi="Century Gothic"/>
          <w:sz w:val="20"/>
          <w:szCs w:val="20"/>
        </w:rPr>
      </w:pPr>
      <w:r w:rsidRPr="00FC14DC">
        <w:rPr>
          <w:rFonts w:ascii="Century Gothic" w:hAnsi="Century Gothic"/>
          <w:sz w:val="20"/>
          <w:szCs w:val="20"/>
        </w:rPr>
        <w:t xml:space="preserve">Sea containers </w:t>
      </w:r>
      <w:r>
        <w:rPr>
          <w:rFonts w:ascii="Century Gothic" w:hAnsi="Century Gothic"/>
          <w:sz w:val="20"/>
          <w:szCs w:val="20"/>
        </w:rPr>
        <w:t xml:space="preserve">or transportable structures </w:t>
      </w:r>
      <w:r w:rsidRPr="00FC14DC">
        <w:rPr>
          <w:rFonts w:ascii="Century Gothic" w:hAnsi="Century Gothic"/>
          <w:sz w:val="20"/>
          <w:szCs w:val="20"/>
        </w:rPr>
        <w:t xml:space="preserve">shall not be used for habitable purposes, unless </w:t>
      </w:r>
      <w:r>
        <w:rPr>
          <w:rFonts w:ascii="Century Gothic" w:hAnsi="Century Gothic"/>
          <w:sz w:val="20"/>
          <w:szCs w:val="20"/>
        </w:rPr>
        <w:t>development</w:t>
      </w:r>
      <w:r w:rsidRPr="00FC14DC">
        <w:rPr>
          <w:rFonts w:ascii="Century Gothic" w:hAnsi="Century Gothic"/>
          <w:sz w:val="20"/>
          <w:szCs w:val="20"/>
        </w:rPr>
        <w:t xml:space="preserve"> approval </w:t>
      </w:r>
      <w:r>
        <w:rPr>
          <w:rFonts w:ascii="Century Gothic" w:hAnsi="Century Gothic"/>
          <w:sz w:val="20"/>
          <w:szCs w:val="20"/>
        </w:rPr>
        <w:t>is obtained and the structure(s)</w:t>
      </w:r>
      <w:r w:rsidRPr="00FC14DC">
        <w:rPr>
          <w:rFonts w:ascii="Century Gothic" w:hAnsi="Century Gothic"/>
          <w:sz w:val="20"/>
          <w:szCs w:val="20"/>
        </w:rPr>
        <w:t xml:space="preserve"> compl</w:t>
      </w:r>
      <w:r>
        <w:rPr>
          <w:rFonts w:ascii="Century Gothic" w:hAnsi="Century Gothic"/>
          <w:sz w:val="20"/>
          <w:szCs w:val="20"/>
        </w:rPr>
        <w:t>ies</w:t>
      </w:r>
      <w:r w:rsidRPr="00FC14DC">
        <w:rPr>
          <w:rFonts w:ascii="Century Gothic" w:hAnsi="Century Gothic"/>
          <w:sz w:val="20"/>
          <w:szCs w:val="20"/>
        </w:rPr>
        <w:t xml:space="preserve"> with </w:t>
      </w:r>
      <w:r>
        <w:rPr>
          <w:rFonts w:ascii="Century Gothic" w:hAnsi="Century Gothic"/>
          <w:sz w:val="20"/>
          <w:szCs w:val="20"/>
        </w:rPr>
        <w:t>Shire of Williams Town Planning Scheme</w:t>
      </w:r>
      <w:r w:rsidRPr="00FC14DC">
        <w:rPr>
          <w:rFonts w:ascii="Century Gothic" w:hAnsi="Century Gothic"/>
          <w:sz w:val="20"/>
          <w:szCs w:val="20"/>
        </w:rPr>
        <w:t xml:space="preserve">, the Building Code of Australia, </w:t>
      </w:r>
      <w:r w:rsidRPr="00FC14DC">
        <w:rPr>
          <w:rFonts w:ascii="Century Gothic" w:hAnsi="Century Gothic"/>
          <w:i/>
          <w:iCs/>
          <w:sz w:val="20"/>
          <w:szCs w:val="20"/>
        </w:rPr>
        <w:t>Public Health Act 2016</w:t>
      </w:r>
      <w:r w:rsidRPr="00FC14DC">
        <w:rPr>
          <w:rFonts w:ascii="Century Gothic" w:hAnsi="Century Gothic"/>
          <w:sz w:val="20"/>
          <w:szCs w:val="20"/>
        </w:rPr>
        <w:t xml:space="preserve"> and </w:t>
      </w:r>
      <w:r w:rsidRPr="00FC14DC">
        <w:rPr>
          <w:rFonts w:ascii="Century Gothic" w:hAnsi="Century Gothic"/>
          <w:i/>
          <w:iCs/>
          <w:sz w:val="20"/>
          <w:szCs w:val="20"/>
        </w:rPr>
        <w:t>Health (Miscellaneous Provisions) Act 1911</w:t>
      </w:r>
      <w:r w:rsidRPr="00FC14DC">
        <w:rPr>
          <w:rFonts w:ascii="Century Gothic" w:hAnsi="Century Gothic"/>
          <w:sz w:val="20"/>
          <w:szCs w:val="20"/>
        </w:rPr>
        <w:t xml:space="preserve"> as a habitable unit. The local government will have regard to other Local Planning Policies as relevant.</w:t>
      </w:r>
    </w:p>
    <w:p w14:paraId="23830FAF" w14:textId="77777777" w:rsidR="00621365" w:rsidRPr="0099356F" w:rsidRDefault="00621365" w:rsidP="00621365">
      <w:pPr>
        <w:jc w:val="both"/>
        <w:rPr>
          <w:rFonts w:ascii="Century Gothic" w:hAnsi="Century Gothic"/>
          <w:sz w:val="20"/>
          <w:szCs w:val="20"/>
        </w:rPr>
      </w:pPr>
    </w:p>
    <w:tbl>
      <w:tblPr>
        <w:tblStyle w:val="TableGrid"/>
        <w:tblW w:w="9776" w:type="dxa"/>
        <w:tblLook w:val="04A0" w:firstRow="1" w:lastRow="0" w:firstColumn="1" w:lastColumn="0" w:noHBand="0" w:noVBand="1"/>
      </w:tblPr>
      <w:tblGrid>
        <w:gridCol w:w="2591"/>
        <w:gridCol w:w="7185"/>
      </w:tblGrid>
      <w:tr w:rsidR="00621365" w:rsidRPr="0099356F" w14:paraId="22FB7F52" w14:textId="77777777" w:rsidTr="00E53DF5">
        <w:tc>
          <w:tcPr>
            <w:tcW w:w="2591" w:type="dxa"/>
          </w:tcPr>
          <w:p w14:paraId="75FD7028" w14:textId="77777777" w:rsidR="00621365" w:rsidRPr="0099356F" w:rsidRDefault="00621365" w:rsidP="00E53DF5">
            <w:pPr>
              <w:rPr>
                <w:rFonts w:ascii="Century Gothic" w:hAnsi="Century Gothic"/>
                <w:b/>
                <w:sz w:val="20"/>
                <w:szCs w:val="20"/>
              </w:rPr>
            </w:pPr>
            <w:r w:rsidRPr="0099356F">
              <w:rPr>
                <w:rFonts w:ascii="Century Gothic" w:hAnsi="Century Gothic"/>
                <w:b/>
                <w:sz w:val="20"/>
                <w:szCs w:val="20"/>
              </w:rPr>
              <w:t>Responsible Officer</w:t>
            </w:r>
          </w:p>
        </w:tc>
        <w:tc>
          <w:tcPr>
            <w:tcW w:w="7185" w:type="dxa"/>
          </w:tcPr>
          <w:p w14:paraId="16C4A898" w14:textId="77777777" w:rsidR="00621365" w:rsidRPr="0099356F" w:rsidRDefault="00621365" w:rsidP="00E53DF5">
            <w:pPr>
              <w:rPr>
                <w:rFonts w:ascii="Century Gothic" w:hAnsi="Century Gothic"/>
                <w:sz w:val="20"/>
                <w:szCs w:val="20"/>
              </w:rPr>
            </w:pPr>
            <w:r w:rsidRPr="0099356F">
              <w:rPr>
                <w:rFonts w:ascii="Century Gothic" w:hAnsi="Century Gothic"/>
                <w:sz w:val="20"/>
                <w:szCs w:val="20"/>
              </w:rPr>
              <w:t>Chief Executive Officer</w:t>
            </w:r>
          </w:p>
          <w:p w14:paraId="11847EA7" w14:textId="77777777" w:rsidR="00621365" w:rsidRPr="0099356F" w:rsidRDefault="00621365" w:rsidP="00E53DF5">
            <w:pPr>
              <w:rPr>
                <w:rFonts w:ascii="Century Gothic" w:hAnsi="Century Gothic"/>
                <w:sz w:val="20"/>
                <w:szCs w:val="20"/>
              </w:rPr>
            </w:pPr>
            <w:r w:rsidRPr="0099356F">
              <w:rPr>
                <w:rFonts w:ascii="Century Gothic" w:hAnsi="Century Gothic"/>
                <w:sz w:val="20"/>
                <w:szCs w:val="20"/>
              </w:rPr>
              <w:t>Environmental Health Officer and Building Inspector</w:t>
            </w:r>
          </w:p>
        </w:tc>
      </w:tr>
      <w:tr w:rsidR="00621365" w:rsidRPr="0099356F" w14:paraId="266D8ED9" w14:textId="77777777" w:rsidTr="00E53DF5">
        <w:tc>
          <w:tcPr>
            <w:tcW w:w="2591" w:type="dxa"/>
          </w:tcPr>
          <w:p w14:paraId="25503E8A" w14:textId="77777777" w:rsidR="00621365" w:rsidRPr="0099356F" w:rsidRDefault="00621365" w:rsidP="00E53DF5">
            <w:pPr>
              <w:rPr>
                <w:rFonts w:ascii="Century Gothic" w:hAnsi="Century Gothic"/>
                <w:b/>
                <w:sz w:val="20"/>
                <w:szCs w:val="20"/>
              </w:rPr>
            </w:pPr>
            <w:r w:rsidRPr="0099356F">
              <w:rPr>
                <w:rFonts w:ascii="Century Gothic" w:hAnsi="Century Gothic"/>
                <w:b/>
                <w:sz w:val="20"/>
                <w:szCs w:val="20"/>
              </w:rPr>
              <w:t>History</w:t>
            </w:r>
          </w:p>
        </w:tc>
        <w:tc>
          <w:tcPr>
            <w:tcW w:w="7185" w:type="dxa"/>
          </w:tcPr>
          <w:p w14:paraId="127BEE21" w14:textId="77777777" w:rsidR="00621365" w:rsidRDefault="00621365" w:rsidP="00E53DF5">
            <w:pPr>
              <w:rPr>
                <w:rFonts w:ascii="Century Gothic" w:hAnsi="Century Gothic"/>
                <w:sz w:val="20"/>
                <w:szCs w:val="20"/>
              </w:rPr>
            </w:pPr>
            <w:r w:rsidRPr="0099356F">
              <w:rPr>
                <w:rFonts w:ascii="Century Gothic" w:hAnsi="Century Gothic"/>
                <w:sz w:val="20"/>
                <w:szCs w:val="20"/>
              </w:rPr>
              <w:t>Adopted 19 September 2007 (Resolution 59/08)</w:t>
            </w:r>
          </w:p>
          <w:p w14:paraId="376B3218" w14:textId="77777777" w:rsidR="00621365" w:rsidRPr="0099356F" w:rsidRDefault="00621365" w:rsidP="00E53DF5">
            <w:pPr>
              <w:rPr>
                <w:rFonts w:ascii="Century Gothic" w:hAnsi="Century Gothic"/>
                <w:sz w:val="20"/>
                <w:szCs w:val="20"/>
              </w:rPr>
            </w:pPr>
            <w:r>
              <w:rPr>
                <w:rFonts w:ascii="Century Gothic" w:hAnsi="Century Gothic"/>
                <w:sz w:val="20"/>
                <w:szCs w:val="20"/>
              </w:rPr>
              <w:t>Minor update – revised language 21 April 2021 (Resolution 97/21)</w:t>
            </w:r>
          </w:p>
        </w:tc>
      </w:tr>
      <w:tr w:rsidR="00621365" w:rsidRPr="0099356F" w14:paraId="66E71583" w14:textId="77777777" w:rsidTr="00E53DF5">
        <w:tc>
          <w:tcPr>
            <w:tcW w:w="2591" w:type="dxa"/>
          </w:tcPr>
          <w:p w14:paraId="540DE349" w14:textId="77777777" w:rsidR="00621365" w:rsidRPr="0099356F" w:rsidRDefault="00621365" w:rsidP="00E53DF5">
            <w:pPr>
              <w:rPr>
                <w:rFonts w:ascii="Century Gothic" w:hAnsi="Century Gothic"/>
                <w:b/>
                <w:sz w:val="20"/>
                <w:szCs w:val="20"/>
              </w:rPr>
            </w:pPr>
            <w:r w:rsidRPr="0099356F">
              <w:rPr>
                <w:rFonts w:ascii="Century Gothic" w:hAnsi="Century Gothic"/>
                <w:b/>
                <w:sz w:val="20"/>
                <w:szCs w:val="20"/>
              </w:rPr>
              <w:t>Delegation</w:t>
            </w:r>
          </w:p>
        </w:tc>
        <w:tc>
          <w:tcPr>
            <w:tcW w:w="7185" w:type="dxa"/>
          </w:tcPr>
          <w:p w14:paraId="33D55A29" w14:textId="77777777" w:rsidR="00621365" w:rsidRPr="0099356F" w:rsidRDefault="00621365" w:rsidP="00E53DF5">
            <w:pPr>
              <w:rPr>
                <w:rFonts w:ascii="Century Gothic" w:hAnsi="Century Gothic"/>
                <w:sz w:val="20"/>
                <w:szCs w:val="20"/>
              </w:rPr>
            </w:pPr>
            <w:r w:rsidRPr="0099356F">
              <w:rPr>
                <w:rFonts w:ascii="Century Gothic" w:hAnsi="Century Gothic"/>
                <w:sz w:val="20"/>
                <w:szCs w:val="20"/>
              </w:rPr>
              <w:t>BLD 1 - Building Matters Permits, Certificates and Orders</w:t>
            </w:r>
          </w:p>
          <w:p w14:paraId="1AF0AD4A" w14:textId="77777777" w:rsidR="00621365" w:rsidRPr="0099356F" w:rsidRDefault="00621365" w:rsidP="00E53DF5">
            <w:pPr>
              <w:rPr>
                <w:rFonts w:ascii="Century Gothic" w:hAnsi="Century Gothic"/>
                <w:sz w:val="20"/>
                <w:szCs w:val="20"/>
              </w:rPr>
            </w:pPr>
            <w:r w:rsidRPr="0099356F">
              <w:rPr>
                <w:rFonts w:ascii="Century Gothic" w:hAnsi="Century Gothic"/>
                <w:sz w:val="20"/>
                <w:szCs w:val="20"/>
              </w:rPr>
              <w:t>BLD 4 – Building Licences</w:t>
            </w:r>
          </w:p>
          <w:p w14:paraId="1E34B3EC" w14:textId="77777777" w:rsidR="00621365" w:rsidRPr="0099356F" w:rsidRDefault="00621365" w:rsidP="00E53DF5">
            <w:pPr>
              <w:rPr>
                <w:rFonts w:ascii="Century Gothic" w:hAnsi="Century Gothic"/>
                <w:sz w:val="20"/>
                <w:szCs w:val="20"/>
              </w:rPr>
            </w:pPr>
            <w:r w:rsidRPr="0099356F">
              <w:rPr>
                <w:rFonts w:ascii="Century Gothic" w:hAnsi="Century Gothic"/>
                <w:sz w:val="20"/>
                <w:szCs w:val="20"/>
              </w:rPr>
              <w:t>PLN 1 – Planning Matters</w:t>
            </w:r>
          </w:p>
        </w:tc>
      </w:tr>
      <w:tr w:rsidR="00621365" w:rsidRPr="0099356F" w14:paraId="60DE8380" w14:textId="77777777" w:rsidTr="00E53DF5">
        <w:tc>
          <w:tcPr>
            <w:tcW w:w="2591" w:type="dxa"/>
          </w:tcPr>
          <w:p w14:paraId="4A3125F2" w14:textId="77777777" w:rsidR="00621365" w:rsidRPr="0099356F" w:rsidRDefault="00621365" w:rsidP="00E53DF5">
            <w:pPr>
              <w:rPr>
                <w:rFonts w:ascii="Century Gothic" w:hAnsi="Century Gothic"/>
                <w:b/>
                <w:sz w:val="20"/>
                <w:szCs w:val="20"/>
              </w:rPr>
            </w:pPr>
            <w:r w:rsidRPr="0099356F">
              <w:rPr>
                <w:rFonts w:ascii="Century Gothic" w:hAnsi="Century Gothic"/>
                <w:b/>
                <w:sz w:val="20"/>
                <w:szCs w:val="20"/>
              </w:rPr>
              <w:t>Relevant Legislation</w:t>
            </w:r>
          </w:p>
        </w:tc>
        <w:tc>
          <w:tcPr>
            <w:tcW w:w="7185" w:type="dxa"/>
          </w:tcPr>
          <w:p w14:paraId="5A898935" w14:textId="77777777" w:rsidR="00621365" w:rsidRPr="0099356F" w:rsidRDefault="00621365" w:rsidP="00E53DF5">
            <w:pPr>
              <w:rPr>
                <w:rFonts w:ascii="Century Gothic" w:hAnsi="Century Gothic"/>
                <w:sz w:val="20"/>
                <w:szCs w:val="20"/>
              </w:rPr>
            </w:pPr>
            <w:r w:rsidRPr="0099356F">
              <w:rPr>
                <w:rFonts w:ascii="Century Gothic" w:hAnsi="Century Gothic"/>
                <w:sz w:val="20"/>
                <w:szCs w:val="20"/>
              </w:rPr>
              <w:t>Planning and Development Act 2005</w:t>
            </w:r>
          </w:p>
          <w:p w14:paraId="69619D5A" w14:textId="77777777" w:rsidR="00621365" w:rsidRPr="0099356F" w:rsidRDefault="00621365" w:rsidP="00E53DF5">
            <w:pPr>
              <w:rPr>
                <w:rFonts w:ascii="Century Gothic" w:hAnsi="Century Gothic"/>
                <w:sz w:val="20"/>
                <w:szCs w:val="20"/>
              </w:rPr>
            </w:pPr>
            <w:r w:rsidRPr="0099356F">
              <w:rPr>
                <w:rFonts w:ascii="Century Gothic" w:hAnsi="Century Gothic"/>
                <w:sz w:val="20"/>
                <w:szCs w:val="20"/>
              </w:rPr>
              <w:t>Building Act 2011</w:t>
            </w:r>
          </w:p>
        </w:tc>
      </w:tr>
      <w:tr w:rsidR="00621365" w:rsidRPr="0099356F" w14:paraId="4E29829A" w14:textId="77777777" w:rsidTr="00E53DF5">
        <w:tc>
          <w:tcPr>
            <w:tcW w:w="2591" w:type="dxa"/>
          </w:tcPr>
          <w:p w14:paraId="53679E5D" w14:textId="77777777" w:rsidR="00621365" w:rsidRPr="0099356F" w:rsidRDefault="00621365" w:rsidP="00E53DF5">
            <w:pPr>
              <w:rPr>
                <w:rFonts w:ascii="Century Gothic" w:hAnsi="Century Gothic"/>
                <w:b/>
                <w:sz w:val="20"/>
                <w:szCs w:val="20"/>
              </w:rPr>
            </w:pPr>
            <w:r w:rsidRPr="0099356F">
              <w:rPr>
                <w:rFonts w:ascii="Century Gothic" w:hAnsi="Century Gothic"/>
                <w:b/>
                <w:sz w:val="20"/>
                <w:szCs w:val="20"/>
              </w:rPr>
              <w:t>Related Documentation</w:t>
            </w:r>
          </w:p>
        </w:tc>
        <w:tc>
          <w:tcPr>
            <w:tcW w:w="7185" w:type="dxa"/>
          </w:tcPr>
          <w:p w14:paraId="49333FF5" w14:textId="77777777" w:rsidR="00621365" w:rsidRPr="0099356F" w:rsidRDefault="00621365" w:rsidP="00E53DF5">
            <w:pPr>
              <w:rPr>
                <w:rFonts w:ascii="Century Gothic" w:hAnsi="Century Gothic"/>
                <w:sz w:val="20"/>
                <w:szCs w:val="20"/>
              </w:rPr>
            </w:pPr>
            <w:r w:rsidRPr="0099356F">
              <w:rPr>
                <w:rFonts w:ascii="Century Gothic" w:hAnsi="Century Gothic"/>
                <w:sz w:val="20"/>
                <w:szCs w:val="20"/>
              </w:rPr>
              <w:t>Shire of Williams Town Planning Scheme No 2</w:t>
            </w:r>
          </w:p>
        </w:tc>
      </w:tr>
    </w:tbl>
    <w:p w14:paraId="3CD96800" w14:textId="77777777" w:rsidR="001F0876" w:rsidRDefault="001F0876"/>
    <w:sectPr w:rsidR="001F08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20D7"/>
    <w:multiLevelType w:val="hybridMultilevel"/>
    <w:tmpl w:val="2DA20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4757E6"/>
    <w:multiLevelType w:val="hybridMultilevel"/>
    <w:tmpl w:val="A94C624E"/>
    <w:lvl w:ilvl="0" w:tplc="0C090001">
      <w:start w:val="1"/>
      <w:numFmt w:val="bullet"/>
      <w:lvlText w:val=""/>
      <w:lvlJc w:val="left"/>
      <w:pPr>
        <w:ind w:left="720" w:hanging="360"/>
      </w:pPr>
      <w:rPr>
        <w:rFonts w:ascii="Symbol" w:hAnsi="Symbol" w:hint="default"/>
      </w:rPr>
    </w:lvl>
    <w:lvl w:ilvl="1" w:tplc="FE50F74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6E90962"/>
    <w:multiLevelType w:val="hybridMultilevel"/>
    <w:tmpl w:val="28187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1119919">
    <w:abstractNumId w:val="0"/>
  </w:num>
  <w:num w:numId="2" w16cid:durableId="202403432">
    <w:abstractNumId w:val="2"/>
  </w:num>
  <w:num w:numId="3" w16cid:durableId="1548881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65"/>
    <w:rsid w:val="00017490"/>
    <w:rsid w:val="001F0876"/>
    <w:rsid w:val="00621365"/>
    <w:rsid w:val="00772CB3"/>
    <w:rsid w:val="008F62C5"/>
    <w:rsid w:val="00BA495B"/>
    <w:rsid w:val="00DF3E9E"/>
    <w:rsid w:val="00E57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9900B"/>
  <w15:chartTrackingRefBased/>
  <w15:docId w15:val="{588E7977-4C25-4A2E-AFD2-1E34014B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365"/>
    <w:pPr>
      <w:spacing w:line="259" w:lineRule="auto"/>
    </w:pPr>
    <w:rPr>
      <w:kern w:val="0"/>
      <w:sz w:val="22"/>
      <w:szCs w:val="22"/>
      <w14:ligatures w14:val="none"/>
    </w:rPr>
  </w:style>
  <w:style w:type="paragraph" w:styleId="Heading1">
    <w:name w:val="heading 1"/>
    <w:basedOn w:val="Normal"/>
    <w:next w:val="Normal"/>
    <w:link w:val="Heading1Char"/>
    <w:uiPriority w:val="9"/>
    <w:qFormat/>
    <w:rsid w:val="00621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1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3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3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3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1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3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3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3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365"/>
    <w:rPr>
      <w:rFonts w:eastAsiaTheme="majorEastAsia" w:cstheme="majorBidi"/>
      <w:color w:val="272727" w:themeColor="text1" w:themeTint="D8"/>
    </w:rPr>
  </w:style>
  <w:style w:type="paragraph" w:styleId="Title">
    <w:name w:val="Title"/>
    <w:basedOn w:val="Normal"/>
    <w:next w:val="Normal"/>
    <w:link w:val="TitleChar"/>
    <w:uiPriority w:val="10"/>
    <w:qFormat/>
    <w:rsid w:val="00621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365"/>
    <w:pPr>
      <w:spacing w:before="160"/>
      <w:jc w:val="center"/>
    </w:pPr>
    <w:rPr>
      <w:i/>
      <w:iCs/>
      <w:color w:val="404040" w:themeColor="text1" w:themeTint="BF"/>
    </w:rPr>
  </w:style>
  <w:style w:type="character" w:customStyle="1" w:styleId="QuoteChar">
    <w:name w:val="Quote Char"/>
    <w:basedOn w:val="DefaultParagraphFont"/>
    <w:link w:val="Quote"/>
    <w:uiPriority w:val="29"/>
    <w:rsid w:val="00621365"/>
    <w:rPr>
      <w:i/>
      <w:iCs/>
      <w:color w:val="404040" w:themeColor="text1" w:themeTint="BF"/>
    </w:rPr>
  </w:style>
  <w:style w:type="paragraph" w:styleId="ListParagraph">
    <w:name w:val="List Paragraph"/>
    <w:basedOn w:val="Normal"/>
    <w:link w:val="ListParagraphChar"/>
    <w:uiPriority w:val="34"/>
    <w:qFormat/>
    <w:rsid w:val="00621365"/>
    <w:pPr>
      <w:ind w:left="720"/>
      <w:contextualSpacing/>
    </w:pPr>
  </w:style>
  <w:style w:type="character" w:styleId="IntenseEmphasis">
    <w:name w:val="Intense Emphasis"/>
    <w:basedOn w:val="DefaultParagraphFont"/>
    <w:uiPriority w:val="21"/>
    <w:qFormat/>
    <w:rsid w:val="00621365"/>
    <w:rPr>
      <w:i/>
      <w:iCs/>
      <w:color w:val="0F4761" w:themeColor="accent1" w:themeShade="BF"/>
    </w:rPr>
  </w:style>
  <w:style w:type="paragraph" w:styleId="IntenseQuote">
    <w:name w:val="Intense Quote"/>
    <w:basedOn w:val="Normal"/>
    <w:next w:val="Normal"/>
    <w:link w:val="IntenseQuoteChar"/>
    <w:uiPriority w:val="30"/>
    <w:qFormat/>
    <w:rsid w:val="00621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365"/>
    <w:rPr>
      <w:i/>
      <w:iCs/>
      <w:color w:val="0F4761" w:themeColor="accent1" w:themeShade="BF"/>
    </w:rPr>
  </w:style>
  <w:style w:type="character" w:styleId="IntenseReference">
    <w:name w:val="Intense Reference"/>
    <w:basedOn w:val="DefaultParagraphFont"/>
    <w:uiPriority w:val="32"/>
    <w:qFormat/>
    <w:rsid w:val="00621365"/>
    <w:rPr>
      <w:b/>
      <w:bCs/>
      <w:smallCaps/>
      <w:color w:val="0F4761" w:themeColor="accent1" w:themeShade="BF"/>
      <w:spacing w:val="5"/>
    </w:rPr>
  </w:style>
  <w:style w:type="table" w:styleId="TableGrid">
    <w:name w:val="Table Grid"/>
    <w:basedOn w:val="TableNormal"/>
    <w:uiPriority w:val="39"/>
    <w:rsid w:val="006213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21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3121</Characters>
  <Application>Microsoft Office Word</Application>
  <DocSecurity>0</DocSecurity>
  <Lines>69</Lines>
  <Paragraphs>37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Germain</dc:creator>
  <cp:keywords/>
  <dc:description/>
  <cp:lastModifiedBy>Tanya Germain</cp:lastModifiedBy>
  <cp:revision>1</cp:revision>
  <dcterms:created xsi:type="dcterms:W3CDTF">2026-02-09T05:40:00Z</dcterms:created>
  <dcterms:modified xsi:type="dcterms:W3CDTF">2026-02-09T05:41:00Z</dcterms:modified>
</cp:coreProperties>
</file>